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2AC" w:rsidRPr="00373735" w:rsidRDefault="001F77E5" w:rsidP="00643CE2">
      <w:pPr>
        <w:shd w:val="clear" w:color="auto" w:fill="FFFFFF"/>
        <w:spacing w:after="0" w:line="288" w:lineRule="auto"/>
        <w:jc w:val="both"/>
        <w:outlineLvl w:val="2"/>
        <w:rPr>
          <w:rFonts w:ascii="Tahoma" w:eastAsia="Times New Roman" w:hAnsi="Tahoma" w:cs="Tahoma"/>
          <w:b/>
          <w:sz w:val="24"/>
          <w:szCs w:val="20"/>
          <w:lang w:eastAsia="en-IN"/>
        </w:rPr>
      </w:pPr>
      <w:r w:rsidRPr="00373735">
        <w:rPr>
          <w:rFonts w:ascii="Tahoma" w:eastAsia="Times New Roman" w:hAnsi="Tahoma" w:cs="Tahoma"/>
          <w:b/>
          <w:sz w:val="24"/>
          <w:szCs w:val="20"/>
          <w:lang w:eastAsia="en-IN"/>
        </w:rPr>
        <w:t xml:space="preserve">Amara Raja Batteries Limited reports </w:t>
      </w:r>
      <w:r w:rsidR="00717BA4" w:rsidRPr="00373735">
        <w:rPr>
          <w:rFonts w:ascii="Tahoma" w:eastAsia="Times New Roman" w:hAnsi="Tahoma" w:cs="Tahoma"/>
          <w:b/>
          <w:sz w:val="24"/>
          <w:szCs w:val="20"/>
          <w:lang w:eastAsia="en-IN"/>
        </w:rPr>
        <w:t xml:space="preserve">a </w:t>
      </w:r>
      <w:r w:rsidR="00DA02AC" w:rsidRPr="00373735">
        <w:rPr>
          <w:rFonts w:ascii="Tahoma" w:eastAsia="Times New Roman" w:hAnsi="Tahoma" w:cs="Tahoma"/>
          <w:b/>
          <w:sz w:val="24"/>
          <w:szCs w:val="20"/>
          <w:lang w:eastAsia="en-IN"/>
        </w:rPr>
        <w:t xml:space="preserve">record quarterly results amidst </w:t>
      </w:r>
      <w:r w:rsidR="00AA1227" w:rsidRPr="00373735">
        <w:rPr>
          <w:rFonts w:ascii="Tahoma" w:eastAsia="Times New Roman" w:hAnsi="Tahoma" w:cs="Tahoma"/>
          <w:b/>
          <w:sz w:val="24"/>
          <w:szCs w:val="20"/>
          <w:lang w:eastAsia="en-IN"/>
        </w:rPr>
        <w:t>demand</w:t>
      </w:r>
      <w:r w:rsidR="00DA02AC" w:rsidRPr="00373735">
        <w:rPr>
          <w:rFonts w:ascii="Tahoma" w:eastAsia="Times New Roman" w:hAnsi="Tahoma" w:cs="Tahoma"/>
          <w:b/>
          <w:sz w:val="24"/>
          <w:szCs w:val="20"/>
          <w:lang w:eastAsia="en-IN"/>
        </w:rPr>
        <w:t xml:space="preserve"> surge across business segments</w:t>
      </w:r>
    </w:p>
    <w:p w:rsidR="00373735" w:rsidRPr="00373735" w:rsidRDefault="00373735" w:rsidP="00373735">
      <w:pPr>
        <w:spacing w:after="0" w:line="288" w:lineRule="auto"/>
        <w:jc w:val="both"/>
        <w:rPr>
          <w:rFonts w:ascii="Tahoma" w:eastAsia="Times New Roman" w:hAnsi="Tahoma" w:cs="Tahoma"/>
          <w:b/>
          <w:sz w:val="20"/>
          <w:szCs w:val="20"/>
          <w:lang w:eastAsia="en-IN"/>
        </w:rPr>
      </w:pPr>
    </w:p>
    <w:p w:rsidR="00373735" w:rsidRPr="00373735" w:rsidRDefault="00373735" w:rsidP="00C65991">
      <w:pPr>
        <w:spacing w:after="0" w:line="240" w:lineRule="auto"/>
        <w:jc w:val="both"/>
        <w:rPr>
          <w:rFonts w:ascii="Tahoma" w:eastAsia="Times New Roman" w:hAnsi="Tahoma" w:cs="Tahoma"/>
          <w:sz w:val="20"/>
          <w:szCs w:val="20"/>
          <w:lang w:eastAsia="en-IN"/>
        </w:rPr>
      </w:pPr>
      <w:r>
        <w:rPr>
          <w:rFonts w:ascii="Tahoma" w:eastAsia="Times New Roman" w:hAnsi="Tahoma" w:cs="Tahoma"/>
          <w:b/>
          <w:sz w:val="20"/>
          <w:szCs w:val="20"/>
          <w:lang w:eastAsia="en-IN"/>
        </w:rPr>
        <w:t>Hyderabad/</w:t>
      </w:r>
      <w:proofErr w:type="spellStart"/>
      <w:r>
        <w:rPr>
          <w:rFonts w:ascii="Tahoma" w:eastAsia="Times New Roman" w:hAnsi="Tahoma" w:cs="Tahoma"/>
          <w:b/>
          <w:sz w:val="20"/>
          <w:szCs w:val="20"/>
          <w:lang w:eastAsia="en-IN"/>
        </w:rPr>
        <w:t>Tirupati</w:t>
      </w:r>
      <w:proofErr w:type="spellEnd"/>
      <w:r w:rsidRPr="00373735">
        <w:rPr>
          <w:rFonts w:ascii="Tahoma" w:eastAsia="Times New Roman" w:hAnsi="Tahoma" w:cs="Tahoma"/>
          <w:b/>
          <w:sz w:val="20"/>
          <w:szCs w:val="20"/>
          <w:lang w:eastAsia="en-IN"/>
        </w:rPr>
        <w:t>, October 27, 2020:</w:t>
      </w:r>
      <w:r w:rsidRPr="00373735">
        <w:rPr>
          <w:rFonts w:ascii="Tahoma" w:eastAsia="Times New Roman" w:hAnsi="Tahoma" w:cs="Tahoma"/>
          <w:sz w:val="20"/>
          <w:szCs w:val="20"/>
          <w:lang w:eastAsia="en-IN"/>
        </w:rPr>
        <w:t xml:space="preserve"> </w:t>
      </w:r>
      <w:r w:rsidRPr="00373735">
        <w:rPr>
          <w:rFonts w:ascii="Tahoma" w:eastAsia="Times New Roman" w:hAnsi="Tahoma" w:cs="Tahoma"/>
          <w:sz w:val="20"/>
          <w:szCs w:val="20"/>
        </w:rPr>
        <w:t xml:space="preserve">Amara Raja Batteries Limited, India’s leading Industrial and Automotive Battery major </w:t>
      </w:r>
      <w:r w:rsidRPr="00373735">
        <w:rPr>
          <w:rFonts w:ascii="Tahoma" w:eastAsia="Times New Roman" w:hAnsi="Tahoma" w:cs="Tahoma"/>
          <w:b/>
          <w:color w:val="000000"/>
          <w:sz w:val="20"/>
          <w:szCs w:val="20"/>
        </w:rPr>
        <w:t>(BSE: 500008 &amp; NSE Code: AMARAJABAT)</w:t>
      </w:r>
      <w:r w:rsidRPr="00373735">
        <w:rPr>
          <w:rFonts w:ascii="Tahoma" w:eastAsia="Times New Roman" w:hAnsi="Tahoma" w:cs="Tahoma"/>
          <w:sz w:val="20"/>
          <w:szCs w:val="20"/>
        </w:rPr>
        <w:t xml:space="preserve"> today reported a revenue of </w:t>
      </w:r>
      <w:proofErr w:type="spellStart"/>
      <w:r w:rsidRPr="00373735">
        <w:rPr>
          <w:rFonts w:ascii="Tahoma" w:eastAsia="Times New Roman" w:hAnsi="Tahoma" w:cs="Tahoma"/>
          <w:sz w:val="20"/>
          <w:szCs w:val="20"/>
        </w:rPr>
        <w:t>Rs</w:t>
      </w:r>
      <w:proofErr w:type="spellEnd"/>
      <w:r w:rsidRPr="00373735">
        <w:rPr>
          <w:rFonts w:ascii="Tahoma" w:eastAsia="Times New Roman" w:hAnsi="Tahoma" w:cs="Tahoma"/>
          <w:sz w:val="20"/>
          <w:szCs w:val="20"/>
        </w:rPr>
        <w:t xml:space="preserve"> 1935.82 crore </w:t>
      </w:r>
      <w:r w:rsidRPr="00373735">
        <w:rPr>
          <w:rFonts w:ascii="Tahoma" w:eastAsia="Times New Roman" w:hAnsi="Tahoma" w:cs="Tahoma"/>
          <w:color w:val="000000"/>
          <w:sz w:val="20"/>
          <w:szCs w:val="20"/>
        </w:rPr>
        <w:t>in Q2 FY21 (</w:t>
      </w:r>
      <w:proofErr w:type="spellStart"/>
      <w:r w:rsidRPr="00373735">
        <w:rPr>
          <w:rFonts w:ascii="Tahoma" w:eastAsia="Times New Roman" w:hAnsi="Tahoma" w:cs="Tahoma"/>
          <w:color w:val="000000"/>
          <w:sz w:val="20"/>
          <w:szCs w:val="20"/>
        </w:rPr>
        <w:t>Rs</w:t>
      </w:r>
      <w:proofErr w:type="spellEnd"/>
      <w:r w:rsidRPr="00373735">
        <w:rPr>
          <w:rFonts w:ascii="Tahoma" w:eastAsia="Times New Roman" w:hAnsi="Tahoma" w:cs="Tahoma"/>
          <w:color w:val="000000"/>
          <w:sz w:val="20"/>
          <w:szCs w:val="20"/>
        </w:rPr>
        <w:t xml:space="preserve"> </w:t>
      </w:r>
      <w:r w:rsidRPr="00373735">
        <w:rPr>
          <w:rFonts w:ascii="Tahoma" w:eastAsia="Times New Roman" w:hAnsi="Tahoma" w:cs="Tahoma"/>
          <w:sz w:val="20"/>
          <w:szCs w:val="20"/>
        </w:rPr>
        <w:t>1695.31 crores</w:t>
      </w:r>
      <w:r w:rsidRPr="00373735">
        <w:rPr>
          <w:rFonts w:ascii="Tahoma" w:eastAsia="Times New Roman" w:hAnsi="Tahoma" w:cs="Tahoma"/>
          <w:color w:val="000000"/>
          <w:sz w:val="20"/>
          <w:szCs w:val="20"/>
        </w:rPr>
        <w:t>)</w:t>
      </w:r>
      <w:r w:rsidRPr="00373735">
        <w:rPr>
          <w:rFonts w:ascii="Tahoma" w:hAnsi="Tahoma" w:cs="Tahoma"/>
          <w:sz w:val="20"/>
          <w:szCs w:val="20"/>
        </w:rPr>
        <w:t xml:space="preserve"> and profit Before tax (PBT) of Rs.270.96 crores (</w:t>
      </w:r>
      <w:proofErr w:type="spellStart"/>
      <w:r w:rsidRPr="00373735">
        <w:rPr>
          <w:rFonts w:ascii="Tahoma" w:hAnsi="Tahoma" w:cs="Tahoma"/>
          <w:sz w:val="20"/>
          <w:szCs w:val="20"/>
        </w:rPr>
        <w:t>Rs</w:t>
      </w:r>
      <w:proofErr w:type="spellEnd"/>
      <w:r w:rsidRPr="00373735">
        <w:rPr>
          <w:rFonts w:ascii="Tahoma" w:hAnsi="Tahoma" w:cs="Tahoma"/>
          <w:sz w:val="20"/>
          <w:szCs w:val="20"/>
        </w:rPr>
        <w:t xml:space="preserve">. 231.83 crores). </w:t>
      </w:r>
      <w:r w:rsidRPr="00373735">
        <w:rPr>
          <w:rFonts w:ascii="Tahoma" w:eastAsia="Times New Roman" w:hAnsi="Tahoma" w:cs="Tahoma"/>
          <w:sz w:val="20"/>
          <w:szCs w:val="20"/>
          <w:lang w:eastAsia="en-IN"/>
        </w:rPr>
        <w:t xml:space="preserve">The Earnings Per Share (EPS) for Q2 FY 21 was at </w:t>
      </w:r>
      <w:proofErr w:type="spellStart"/>
      <w:r w:rsidRPr="00373735">
        <w:rPr>
          <w:rFonts w:ascii="Tahoma" w:eastAsia="Times New Roman" w:hAnsi="Tahoma" w:cs="Tahoma"/>
          <w:sz w:val="20"/>
          <w:szCs w:val="20"/>
          <w:lang w:eastAsia="en-IN"/>
        </w:rPr>
        <w:t>Rs</w:t>
      </w:r>
      <w:proofErr w:type="spellEnd"/>
      <w:r w:rsidRPr="00373735">
        <w:rPr>
          <w:rFonts w:ascii="Tahoma" w:eastAsia="Times New Roman" w:hAnsi="Tahoma" w:cs="Tahoma"/>
          <w:sz w:val="20"/>
          <w:szCs w:val="20"/>
          <w:lang w:eastAsia="en-IN"/>
        </w:rPr>
        <w:t>. 11.79.</w:t>
      </w:r>
    </w:p>
    <w:p w:rsidR="00373735" w:rsidRPr="00373735" w:rsidRDefault="00373735" w:rsidP="00C65991">
      <w:pPr>
        <w:spacing w:after="0" w:line="240" w:lineRule="auto"/>
        <w:jc w:val="both"/>
        <w:rPr>
          <w:rFonts w:ascii="Tahoma" w:eastAsia="Times New Roman" w:hAnsi="Tahoma" w:cs="Tahoma"/>
          <w:sz w:val="20"/>
          <w:szCs w:val="20"/>
          <w:lang w:eastAsia="en-IN"/>
        </w:rPr>
      </w:pPr>
    </w:p>
    <w:p w:rsidR="00373735" w:rsidRPr="00373735" w:rsidRDefault="00373735" w:rsidP="00C65991">
      <w:pPr>
        <w:spacing w:after="0" w:line="240" w:lineRule="auto"/>
        <w:jc w:val="both"/>
        <w:rPr>
          <w:rFonts w:ascii="Tahoma" w:eastAsia="Times New Roman" w:hAnsi="Tahoma" w:cs="Tahoma"/>
          <w:color w:val="000000"/>
          <w:sz w:val="20"/>
          <w:szCs w:val="20"/>
        </w:rPr>
      </w:pPr>
      <w:r w:rsidRPr="00373735">
        <w:rPr>
          <w:rFonts w:ascii="Tahoma" w:eastAsia="Times New Roman" w:hAnsi="Tahoma" w:cs="Tahoma"/>
          <w:color w:val="000000"/>
          <w:sz w:val="20"/>
          <w:szCs w:val="20"/>
        </w:rPr>
        <w:t>For the quarter ended September 30, 2020</w:t>
      </w:r>
    </w:p>
    <w:p w:rsidR="00373735" w:rsidRPr="00373735" w:rsidRDefault="00373735" w:rsidP="00C65991">
      <w:pPr>
        <w:spacing w:after="0" w:line="240" w:lineRule="auto"/>
        <w:jc w:val="right"/>
        <w:rPr>
          <w:rFonts w:ascii="Tahoma" w:eastAsia="Times New Roman" w:hAnsi="Tahoma" w:cs="Tahoma"/>
          <w:b/>
          <w:color w:val="000000"/>
          <w:sz w:val="20"/>
          <w:szCs w:val="20"/>
        </w:rPr>
      </w:pPr>
      <w:proofErr w:type="spellStart"/>
      <w:r w:rsidRPr="00373735">
        <w:rPr>
          <w:rFonts w:ascii="Tahoma" w:eastAsia="Times New Roman" w:hAnsi="Tahoma" w:cs="Tahoma"/>
          <w:b/>
          <w:color w:val="000000"/>
          <w:sz w:val="20"/>
          <w:szCs w:val="20"/>
        </w:rPr>
        <w:t>Rs</w:t>
      </w:r>
      <w:proofErr w:type="spellEnd"/>
      <w:r w:rsidRPr="00373735">
        <w:rPr>
          <w:rFonts w:ascii="Tahoma" w:eastAsia="Times New Roman" w:hAnsi="Tahoma" w:cs="Tahoma"/>
          <w:b/>
          <w:color w:val="000000"/>
          <w:sz w:val="20"/>
          <w:szCs w:val="20"/>
        </w:rPr>
        <w:t>. in crores</w:t>
      </w:r>
    </w:p>
    <w:tbl>
      <w:tblPr>
        <w:tblStyle w:val="TableGrid"/>
        <w:tblW w:w="9008" w:type="dxa"/>
        <w:tblLook w:val="04A0" w:firstRow="1" w:lastRow="0" w:firstColumn="1" w:lastColumn="0" w:noHBand="0" w:noVBand="1"/>
      </w:tblPr>
      <w:tblGrid>
        <w:gridCol w:w="4257"/>
        <w:gridCol w:w="2302"/>
        <w:gridCol w:w="2449"/>
      </w:tblGrid>
      <w:tr w:rsidR="00373735" w:rsidRPr="00373735" w:rsidTr="00373735">
        <w:trPr>
          <w:trHeight w:val="346"/>
        </w:trPr>
        <w:tc>
          <w:tcPr>
            <w:tcW w:w="4257" w:type="dxa"/>
          </w:tcPr>
          <w:p w:rsidR="00373735" w:rsidRPr="00373735" w:rsidRDefault="00373735" w:rsidP="00C65991">
            <w:pPr>
              <w:jc w:val="both"/>
              <w:rPr>
                <w:rFonts w:ascii="Tahoma" w:eastAsia="Times New Roman" w:hAnsi="Tahoma" w:cs="Tahoma"/>
                <w:b/>
                <w:color w:val="000000"/>
                <w:sz w:val="20"/>
                <w:szCs w:val="20"/>
                <w:lang w:val="en-IN"/>
              </w:rPr>
            </w:pPr>
            <w:r w:rsidRPr="00373735">
              <w:rPr>
                <w:rFonts w:ascii="Tahoma" w:eastAsia="Times New Roman" w:hAnsi="Tahoma" w:cs="Tahoma"/>
                <w:b/>
                <w:color w:val="000000"/>
                <w:sz w:val="20"/>
                <w:szCs w:val="20"/>
                <w:lang w:val="en-IN"/>
              </w:rPr>
              <w:t>Particulars</w:t>
            </w:r>
          </w:p>
        </w:tc>
        <w:tc>
          <w:tcPr>
            <w:tcW w:w="4751" w:type="dxa"/>
            <w:gridSpan w:val="2"/>
          </w:tcPr>
          <w:p w:rsidR="00373735" w:rsidRPr="00373735" w:rsidRDefault="00373735" w:rsidP="00C65991">
            <w:pPr>
              <w:jc w:val="center"/>
              <w:rPr>
                <w:rFonts w:ascii="Tahoma" w:eastAsia="Times New Roman" w:hAnsi="Tahoma" w:cs="Tahoma"/>
                <w:b/>
                <w:color w:val="000000"/>
                <w:sz w:val="20"/>
                <w:szCs w:val="20"/>
                <w:lang w:val="en-IN"/>
              </w:rPr>
            </w:pPr>
            <w:r w:rsidRPr="00373735">
              <w:rPr>
                <w:rFonts w:ascii="Tahoma" w:eastAsia="Times New Roman" w:hAnsi="Tahoma" w:cs="Tahoma"/>
                <w:b/>
                <w:color w:val="000000"/>
                <w:sz w:val="20"/>
                <w:szCs w:val="20"/>
                <w:lang w:val="en-IN"/>
              </w:rPr>
              <w:t>Quarter ended</w:t>
            </w:r>
          </w:p>
        </w:tc>
      </w:tr>
      <w:tr w:rsidR="00373735" w:rsidRPr="00373735" w:rsidTr="00373735">
        <w:trPr>
          <w:trHeight w:val="319"/>
        </w:trPr>
        <w:tc>
          <w:tcPr>
            <w:tcW w:w="4257" w:type="dxa"/>
          </w:tcPr>
          <w:p w:rsidR="00373735" w:rsidRPr="00373735" w:rsidRDefault="00373735" w:rsidP="00C65991">
            <w:pPr>
              <w:ind w:right="-2355"/>
              <w:jc w:val="both"/>
              <w:rPr>
                <w:rFonts w:ascii="Tahoma" w:eastAsia="Times New Roman" w:hAnsi="Tahoma" w:cs="Tahoma"/>
                <w:b/>
                <w:color w:val="000000"/>
                <w:sz w:val="20"/>
                <w:szCs w:val="20"/>
                <w:lang w:val="en-IN"/>
              </w:rPr>
            </w:pPr>
          </w:p>
        </w:tc>
        <w:tc>
          <w:tcPr>
            <w:tcW w:w="2302" w:type="dxa"/>
            <w:shd w:val="clear" w:color="auto" w:fill="auto"/>
          </w:tcPr>
          <w:p w:rsidR="00373735" w:rsidRPr="00373735" w:rsidRDefault="00373735" w:rsidP="00C65991">
            <w:pPr>
              <w:jc w:val="right"/>
              <w:rPr>
                <w:rFonts w:ascii="Tahoma" w:eastAsia="Times New Roman" w:hAnsi="Tahoma" w:cs="Tahoma"/>
                <w:b/>
                <w:color w:val="000000"/>
                <w:sz w:val="20"/>
                <w:szCs w:val="20"/>
                <w:lang w:val="en-IN"/>
              </w:rPr>
            </w:pPr>
            <w:r w:rsidRPr="00373735">
              <w:rPr>
                <w:rFonts w:ascii="Tahoma" w:eastAsia="Times New Roman" w:hAnsi="Tahoma" w:cs="Tahoma"/>
                <w:b/>
                <w:color w:val="000000"/>
                <w:sz w:val="20"/>
                <w:szCs w:val="20"/>
                <w:lang w:val="en-IN"/>
              </w:rPr>
              <w:t>September 30, 2020</w:t>
            </w:r>
          </w:p>
        </w:tc>
        <w:tc>
          <w:tcPr>
            <w:tcW w:w="2448" w:type="dxa"/>
            <w:shd w:val="clear" w:color="auto" w:fill="auto"/>
          </w:tcPr>
          <w:p w:rsidR="00373735" w:rsidRPr="00373735" w:rsidRDefault="00373735" w:rsidP="00C65991">
            <w:pPr>
              <w:jc w:val="right"/>
              <w:rPr>
                <w:rFonts w:ascii="Tahoma" w:eastAsia="Times New Roman" w:hAnsi="Tahoma" w:cs="Tahoma"/>
                <w:b/>
                <w:color w:val="000000"/>
                <w:sz w:val="20"/>
                <w:szCs w:val="20"/>
                <w:lang w:val="en-IN"/>
              </w:rPr>
            </w:pPr>
            <w:r w:rsidRPr="00373735">
              <w:rPr>
                <w:rFonts w:ascii="Tahoma" w:eastAsia="Times New Roman" w:hAnsi="Tahoma" w:cs="Tahoma"/>
                <w:b/>
                <w:color w:val="000000"/>
                <w:sz w:val="20"/>
                <w:szCs w:val="20"/>
                <w:lang w:val="en-IN"/>
              </w:rPr>
              <w:t>September 30, 2019</w:t>
            </w:r>
          </w:p>
        </w:tc>
      </w:tr>
      <w:tr w:rsidR="00373735" w:rsidRPr="00373735" w:rsidTr="00373735">
        <w:trPr>
          <w:trHeight w:val="320"/>
        </w:trPr>
        <w:tc>
          <w:tcPr>
            <w:tcW w:w="4257" w:type="dxa"/>
          </w:tcPr>
          <w:p w:rsidR="00373735" w:rsidRPr="00373735" w:rsidRDefault="00373735" w:rsidP="00C65991">
            <w:pPr>
              <w:jc w:val="both"/>
              <w:rPr>
                <w:rFonts w:ascii="Tahoma" w:eastAsia="Times New Roman" w:hAnsi="Tahoma" w:cs="Tahoma"/>
                <w:color w:val="000000"/>
                <w:sz w:val="20"/>
                <w:szCs w:val="20"/>
                <w:lang w:val="en-IN"/>
              </w:rPr>
            </w:pPr>
            <w:r w:rsidRPr="00373735">
              <w:rPr>
                <w:rFonts w:ascii="Tahoma" w:eastAsia="Times New Roman" w:hAnsi="Tahoma" w:cs="Tahoma"/>
                <w:color w:val="000000"/>
                <w:sz w:val="20"/>
                <w:szCs w:val="20"/>
                <w:lang w:val="en-IN"/>
              </w:rPr>
              <w:t>Net Revenue from operations</w:t>
            </w:r>
          </w:p>
        </w:tc>
        <w:tc>
          <w:tcPr>
            <w:tcW w:w="2302" w:type="dxa"/>
            <w:shd w:val="clear" w:color="auto" w:fill="auto"/>
          </w:tcPr>
          <w:p w:rsidR="00373735" w:rsidRPr="00373735" w:rsidRDefault="00373735" w:rsidP="00C65991">
            <w:pPr>
              <w:jc w:val="right"/>
              <w:rPr>
                <w:rFonts w:ascii="Tahoma" w:eastAsia="Times New Roman" w:hAnsi="Tahoma" w:cs="Tahoma"/>
                <w:color w:val="000000"/>
                <w:sz w:val="20"/>
                <w:szCs w:val="20"/>
                <w:lang w:val="en-IN"/>
              </w:rPr>
            </w:pPr>
            <w:r w:rsidRPr="00373735">
              <w:rPr>
                <w:rFonts w:ascii="Tahoma" w:eastAsia="Times New Roman" w:hAnsi="Tahoma" w:cs="Tahoma"/>
                <w:color w:val="000000"/>
                <w:sz w:val="20"/>
                <w:szCs w:val="20"/>
                <w:lang w:val="en-IN"/>
              </w:rPr>
              <w:t>1935.82</w:t>
            </w:r>
          </w:p>
        </w:tc>
        <w:tc>
          <w:tcPr>
            <w:tcW w:w="2448" w:type="dxa"/>
            <w:shd w:val="clear" w:color="auto" w:fill="auto"/>
          </w:tcPr>
          <w:p w:rsidR="00373735" w:rsidRPr="00373735" w:rsidRDefault="00373735" w:rsidP="00C65991">
            <w:pPr>
              <w:jc w:val="right"/>
              <w:rPr>
                <w:rFonts w:ascii="Tahoma" w:eastAsia="Times New Roman" w:hAnsi="Tahoma" w:cs="Tahoma"/>
                <w:color w:val="000000"/>
                <w:sz w:val="20"/>
                <w:szCs w:val="20"/>
                <w:lang w:val="en-IN"/>
              </w:rPr>
            </w:pPr>
            <w:r w:rsidRPr="00373735">
              <w:rPr>
                <w:rFonts w:ascii="Tahoma" w:eastAsia="Times New Roman" w:hAnsi="Tahoma" w:cs="Tahoma"/>
                <w:color w:val="000000"/>
                <w:sz w:val="20"/>
                <w:szCs w:val="20"/>
                <w:lang w:val="en-IN"/>
              </w:rPr>
              <w:t>1695.31</w:t>
            </w:r>
          </w:p>
        </w:tc>
      </w:tr>
      <w:tr w:rsidR="00373735" w:rsidRPr="00D7033E" w:rsidTr="00373735">
        <w:trPr>
          <w:trHeight w:val="319"/>
        </w:trPr>
        <w:tc>
          <w:tcPr>
            <w:tcW w:w="4257" w:type="dxa"/>
          </w:tcPr>
          <w:p w:rsidR="00373735" w:rsidRPr="00373735" w:rsidRDefault="00373735" w:rsidP="00C65991">
            <w:pPr>
              <w:jc w:val="both"/>
              <w:rPr>
                <w:rFonts w:ascii="Tahoma" w:eastAsia="Times New Roman" w:hAnsi="Tahoma" w:cs="Tahoma"/>
                <w:color w:val="000000"/>
                <w:sz w:val="20"/>
                <w:szCs w:val="20"/>
                <w:lang w:val="en-IN"/>
              </w:rPr>
            </w:pPr>
            <w:r w:rsidRPr="00373735">
              <w:rPr>
                <w:rFonts w:ascii="Tahoma" w:eastAsia="Times New Roman" w:hAnsi="Tahoma" w:cs="Tahoma"/>
                <w:color w:val="000000"/>
                <w:sz w:val="20"/>
                <w:szCs w:val="20"/>
                <w:lang w:val="en-IN"/>
              </w:rPr>
              <w:t xml:space="preserve">Profit Before Tax </w:t>
            </w:r>
          </w:p>
        </w:tc>
        <w:tc>
          <w:tcPr>
            <w:tcW w:w="2302" w:type="dxa"/>
            <w:shd w:val="clear" w:color="auto" w:fill="auto"/>
          </w:tcPr>
          <w:p w:rsidR="00373735" w:rsidRPr="00373735" w:rsidRDefault="00373735" w:rsidP="00C65991">
            <w:pPr>
              <w:jc w:val="right"/>
              <w:rPr>
                <w:rFonts w:ascii="Tahoma" w:eastAsia="Times New Roman" w:hAnsi="Tahoma" w:cs="Tahoma"/>
                <w:color w:val="000000"/>
                <w:sz w:val="20"/>
                <w:szCs w:val="20"/>
                <w:lang w:val="en-IN"/>
              </w:rPr>
            </w:pPr>
            <w:r w:rsidRPr="00373735">
              <w:rPr>
                <w:rFonts w:ascii="Tahoma" w:eastAsia="Times New Roman" w:hAnsi="Tahoma" w:cs="Tahoma"/>
                <w:color w:val="000000"/>
                <w:sz w:val="20"/>
                <w:szCs w:val="20"/>
                <w:lang w:val="en-IN"/>
              </w:rPr>
              <w:t>270.96</w:t>
            </w:r>
          </w:p>
        </w:tc>
        <w:tc>
          <w:tcPr>
            <w:tcW w:w="2448" w:type="dxa"/>
            <w:shd w:val="clear" w:color="auto" w:fill="auto"/>
          </w:tcPr>
          <w:p w:rsidR="00373735" w:rsidRPr="00373735" w:rsidRDefault="00373735" w:rsidP="00C65991">
            <w:pPr>
              <w:jc w:val="right"/>
              <w:rPr>
                <w:rFonts w:ascii="Tahoma" w:eastAsia="Times New Roman" w:hAnsi="Tahoma" w:cs="Tahoma"/>
                <w:color w:val="000000"/>
                <w:sz w:val="20"/>
                <w:szCs w:val="20"/>
                <w:lang w:val="en-IN"/>
              </w:rPr>
            </w:pPr>
            <w:r w:rsidRPr="00373735">
              <w:rPr>
                <w:rFonts w:ascii="Tahoma" w:eastAsia="Times New Roman" w:hAnsi="Tahoma" w:cs="Tahoma"/>
                <w:color w:val="000000"/>
                <w:sz w:val="20"/>
                <w:szCs w:val="20"/>
                <w:lang w:val="en-IN"/>
              </w:rPr>
              <w:t>231.83</w:t>
            </w:r>
          </w:p>
        </w:tc>
      </w:tr>
    </w:tbl>
    <w:p w:rsidR="00EE5AE1" w:rsidRDefault="00EE5AE1" w:rsidP="00C65991">
      <w:pPr>
        <w:spacing w:line="240" w:lineRule="auto"/>
        <w:jc w:val="both"/>
        <w:rPr>
          <w:rFonts w:cstheme="minorHAnsi"/>
          <w:lang w:val="en-US"/>
        </w:rPr>
      </w:pPr>
    </w:p>
    <w:p w:rsidR="005851A9" w:rsidRPr="00DA02AC" w:rsidRDefault="002E1496" w:rsidP="00C65991">
      <w:pPr>
        <w:spacing w:line="240" w:lineRule="auto"/>
        <w:jc w:val="both"/>
        <w:rPr>
          <w:rFonts w:cstheme="minorHAnsi"/>
          <w:lang w:val="en-US"/>
        </w:rPr>
      </w:pPr>
      <w:r w:rsidRPr="00DA02AC">
        <w:rPr>
          <w:rFonts w:cstheme="minorHAnsi"/>
          <w:lang w:val="en-US"/>
        </w:rPr>
        <w:t xml:space="preserve">Amara </w:t>
      </w:r>
      <w:r w:rsidRPr="00373735">
        <w:rPr>
          <w:rFonts w:ascii="Tahoma" w:eastAsia="Times New Roman" w:hAnsi="Tahoma" w:cs="Tahoma"/>
          <w:sz w:val="20"/>
          <w:szCs w:val="20"/>
          <w:lang w:eastAsia="en-IN"/>
        </w:rPr>
        <w:t>Raj</w:t>
      </w:r>
      <w:r w:rsidR="00FD0D8A" w:rsidRPr="00373735">
        <w:rPr>
          <w:rFonts w:ascii="Tahoma" w:eastAsia="Times New Roman" w:hAnsi="Tahoma" w:cs="Tahoma"/>
          <w:sz w:val="20"/>
          <w:szCs w:val="20"/>
          <w:lang w:eastAsia="en-IN"/>
        </w:rPr>
        <w:t>a</w:t>
      </w:r>
      <w:r w:rsidRPr="00373735">
        <w:rPr>
          <w:rFonts w:ascii="Tahoma" w:eastAsia="Times New Roman" w:hAnsi="Tahoma" w:cs="Tahoma"/>
          <w:sz w:val="20"/>
          <w:szCs w:val="20"/>
          <w:lang w:eastAsia="en-IN"/>
        </w:rPr>
        <w:t xml:space="preserve"> Batteries reported record quarterly results during the July-September quarter even as the economy picked up momentum enabled by the progressively relaxed unlock norms announced by government.</w:t>
      </w:r>
      <w:r w:rsidRPr="00DA02AC">
        <w:rPr>
          <w:rFonts w:cstheme="minorHAnsi"/>
          <w:lang w:val="en-US"/>
        </w:rPr>
        <w:t xml:space="preserve"> The company’s performance during the quarter was driven by the demand rebound across all key sectors of the business</w:t>
      </w:r>
      <w:r w:rsidR="00406F4C" w:rsidRPr="00DA02AC">
        <w:rPr>
          <w:rFonts w:cstheme="minorHAnsi"/>
          <w:lang w:val="en-US"/>
        </w:rPr>
        <w:t>. The robust operational guidelines to deal with pandemic risk have helped</w:t>
      </w:r>
      <w:r w:rsidRPr="00DA02AC">
        <w:rPr>
          <w:rFonts w:cstheme="minorHAnsi"/>
          <w:lang w:val="en-US"/>
        </w:rPr>
        <w:t xml:space="preserve"> ramp up in manufacturing capacity utilization</w:t>
      </w:r>
      <w:r w:rsidR="00406F4C" w:rsidRPr="00DA02AC">
        <w:rPr>
          <w:rFonts w:cstheme="minorHAnsi"/>
          <w:lang w:val="en-US"/>
        </w:rPr>
        <w:t xml:space="preserve"> and distribution operations</w:t>
      </w:r>
      <w:r w:rsidRPr="00DA02AC">
        <w:rPr>
          <w:rFonts w:cstheme="minorHAnsi"/>
          <w:lang w:val="en-US"/>
        </w:rPr>
        <w:t xml:space="preserve">. </w:t>
      </w:r>
    </w:p>
    <w:p w:rsidR="00145FC6" w:rsidRPr="00DA02AC" w:rsidRDefault="00145FC6" w:rsidP="00C65991">
      <w:pPr>
        <w:pStyle w:val="NoSpacing"/>
        <w:jc w:val="both"/>
      </w:pPr>
    </w:p>
    <w:p w:rsidR="006C0D88" w:rsidRPr="00DA02AC" w:rsidRDefault="0042302D" w:rsidP="00C65991">
      <w:pPr>
        <w:pStyle w:val="NoSpacing"/>
        <w:jc w:val="both"/>
      </w:pPr>
      <w:r w:rsidRPr="00DA02AC">
        <w:t xml:space="preserve">In the automotive segment, </w:t>
      </w:r>
      <w:r w:rsidR="002E1496" w:rsidRPr="00DA02AC">
        <w:t xml:space="preserve">both the OEM and aftermarket demand saw a sharp raise. Vehicle production saw a month-on-month rebound to refill the dealer inventories and gear up for the </w:t>
      </w:r>
      <w:r w:rsidR="00AA1227">
        <w:t xml:space="preserve">demand during upcoming </w:t>
      </w:r>
      <w:r w:rsidR="002E1496" w:rsidRPr="00DA02AC">
        <w:t xml:space="preserve">festive season. </w:t>
      </w:r>
      <w:r w:rsidR="00406F4C" w:rsidRPr="00DA02AC">
        <w:t>Personal</w:t>
      </w:r>
      <w:r w:rsidR="002E1496" w:rsidRPr="00DA02AC">
        <w:t xml:space="preserve"> mobility preferences also saw </w:t>
      </w:r>
      <w:r w:rsidR="00406F4C" w:rsidRPr="00DA02AC">
        <w:t xml:space="preserve">increased purchase of </w:t>
      </w:r>
      <w:r w:rsidR="002E1496" w:rsidRPr="00DA02AC">
        <w:t xml:space="preserve">2W and entry level </w:t>
      </w:r>
      <w:r w:rsidR="00406F4C" w:rsidRPr="00DA02AC">
        <w:t xml:space="preserve">passenger vehicles. The aftermarket saw strong pent up </w:t>
      </w:r>
      <w:r w:rsidR="00AA1227">
        <w:t>demand sustaining post initial l</w:t>
      </w:r>
      <w:r w:rsidR="00406F4C" w:rsidRPr="00DA02AC">
        <w:t xml:space="preserve">ock down periods and with easing of logistics, channel sales and distribution activities were streamlined to meet the demand. </w:t>
      </w:r>
    </w:p>
    <w:p w:rsidR="00F139FC" w:rsidRPr="00DA02AC" w:rsidRDefault="006C0D88" w:rsidP="00C65991">
      <w:pPr>
        <w:pStyle w:val="NoSpacing"/>
        <w:jc w:val="both"/>
      </w:pPr>
      <w:r w:rsidRPr="00DA02AC">
        <w:t xml:space="preserve"> </w:t>
      </w:r>
    </w:p>
    <w:p w:rsidR="00563C68" w:rsidRPr="00DA02AC" w:rsidRDefault="00FC3182" w:rsidP="00C65991">
      <w:pPr>
        <w:spacing w:line="240" w:lineRule="auto"/>
        <w:jc w:val="both"/>
        <w:rPr>
          <w:color w:val="000000"/>
          <w:lang w:val="en-US"/>
        </w:rPr>
      </w:pPr>
      <w:r w:rsidRPr="00DA02AC">
        <w:rPr>
          <w:color w:val="000000"/>
          <w:lang w:val="en-US"/>
        </w:rPr>
        <w:t xml:space="preserve">Industrial Business </w:t>
      </w:r>
      <w:r w:rsidR="00406F4C" w:rsidRPr="00DA02AC">
        <w:rPr>
          <w:color w:val="000000"/>
          <w:lang w:val="en-US"/>
        </w:rPr>
        <w:t>continued to see sustained demand from Telecom and commercial UPS market segments</w:t>
      </w:r>
      <w:bookmarkStart w:id="0" w:name="_MailEndCompose"/>
      <w:bookmarkEnd w:id="0"/>
      <w:r w:rsidR="00406F4C" w:rsidRPr="00DA02AC">
        <w:rPr>
          <w:color w:val="000000"/>
          <w:lang w:val="en-US"/>
        </w:rPr>
        <w:t xml:space="preserve"> on the back of enhanced priorities for keeping the data network uptimes near to 100%.</w:t>
      </w:r>
    </w:p>
    <w:p w:rsidR="00D343EE" w:rsidRPr="00DA02AC" w:rsidRDefault="00D343EE" w:rsidP="00C65991">
      <w:pPr>
        <w:spacing w:line="240" w:lineRule="auto"/>
        <w:jc w:val="both"/>
        <w:rPr>
          <w:color w:val="000000"/>
          <w:lang w:val="en-US"/>
        </w:rPr>
      </w:pPr>
      <w:r w:rsidRPr="00DA02AC">
        <w:rPr>
          <w:color w:val="000000"/>
          <w:lang w:val="en-US"/>
        </w:rPr>
        <w:t xml:space="preserve">Exports </w:t>
      </w:r>
      <w:r w:rsidR="00406F4C" w:rsidRPr="00DA02AC">
        <w:rPr>
          <w:color w:val="000000"/>
          <w:lang w:val="en-US"/>
        </w:rPr>
        <w:t xml:space="preserve">of automotive batteries and industrial </w:t>
      </w:r>
      <w:r w:rsidR="00AA1227" w:rsidRPr="00DA02AC">
        <w:rPr>
          <w:color w:val="000000"/>
          <w:lang w:val="en-US"/>
        </w:rPr>
        <w:t>batteries</w:t>
      </w:r>
      <w:r w:rsidR="00406F4C" w:rsidRPr="00DA02AC">
        <w:rPr>
          <w:color w:val="000000"/>
          <w:lang w:val="en-US"/>
        </w:rPr>
        <w:t xml:space="preserve"> also </w:t>
      </w:r>
      <w:r w:rsidR="00AA1227">
        <w:rPr>
          <w:color w:val="000000"/>
          <w:lang w:val="en-US"/>
        </w:rPr>
        <w:t xml:space="preserve">saw </w:t>
      </w:r>
      <w:r w:rsidR="00406F4C" w:rsidRPr="00DA02AC">
        <w:rPr>
          <w:color w:val="000000"/>
          <w:lang w:val="en-US"/>
        </w:rPr>
        <w:t xml:space="preserve">an upsurge as markets across the geographies opened up. </w:t>
      </w:r>
    </w:p>
    <w:p w:rsidR="00717BA4" w:rsidRPr="00DA02AC" w:rsidRDefault="00717BA4">
      <w:pPr>
        <w:spacing w:after="0" w:line="288" w:lineRule="auto"/>
        <w:jc w:val="both"/>
        <w:rPr>
          <w:rFonts w:ascii="Tahoma" w:hAnsi="Tahoma" w:cs="Tahoma"/>
          <w:b/>
          <w:bCs/>
          <w:sz w:val="20"/>
          <w:szCs w:val="20"/>
        </w:rPr>
      </w:pPr>
    </w:p>
    <w:p w:rsidR="00026E1E" w:rsidRPr="00DA02AC" w:rsidRDefault="00026E1E" w:rsidP="00C65991">
      <w:pPr>
        <w:spacing w:line="240" w:lineRule="auto"/>
        <w:jc w:val="both"/>
        <w:rPr>
          <w:rFonts w:cstheme="minorHAnsi"/>
        </w:rPr>
      </w:pPr>
      <w:r w:rsidRPr="00DA02AC">
        <w:rPr>
          <w:rFonts w:cstheme="minorHAnsi"/>
          <w:b/>
          <w:bCs/>
          <w:sz w:val="24"/>
        </w:rPr>
        <w:t>Mr. Jayadev Galla, Vice Chairman &amp; Managing Director, Amara Raja Batteries Limited said,</w:t>
      </w:r>
      <w:r w:rsidRPr="00DA02AC">
        <w:rPr>
          <w:rFonts w:cstheme="minorHAnsi"/>
          <w:bCs/>
        </w:rPr>
        <w:t xml:space="preserve"> “</w:t>
      </w:r>
      <w:r w:rsidR="00406F4C" w:rsidRPr="00DA02AC">
        <w:rPr>
          <w:rFonts w:cstheme="minorHAnsi"/>
          <w:bCs/>
        </w:rPr>
        <w:t xml:space="preserve">The resurfacing of demand from all the key segments of our business helped us </w:t>
      </w:r>
      <w:r w:rsidR="00406F4C" w:rsidRPr="00DA02AC">
        <w:rPr>
          <w:rFonts w:cstheme="minorHAnsi"/>
        </w:rPr>
        <w:t xml:space="preserve">perform strongly during the quarter. </w:t>
      </w:r>
      <w:r w:rsidR="00AA1227">
        <w:rPr>
          <w:rFonts w:cstheme="minorHAnsi"/>
        </w:rPr>
        <w:t xml:space="preserve">The revamped planning systems </w:t>
      </w:r>
      <w:r w:rsidR="000D0D7B">
        <w:rPr>
          <w:rFonts w:cstheme="minorHAnsi"/>
        </w:rPr>
        <w:t xml:space="preserve">and digital enablement of business processes across various functions </w:t>
      </w:r>
      <w:r w:rsidR="00AA1227">
        <w:rPr>
          <w:rFonts w:cstheme="minorHAnsi"/>
        </w:rPr>
        <w:t xml:space="preserve">are helping the organisation to stay agile and respond to the fast changing business environment. </w:t>
      </w:r>
      <w:r w:rsidR="001728BA" w:rsidRPr="00DA02AC">
        <w:rPr>
          <w:rFonts w:cstheme="minorHAnsi"/>
        </w:rPr>
        <w:t xml:space="preserve">While the economic activity has picked up in the country, the uncertainty of COVID impact continues to keep us on the watch. </w:t>
      </w:r>
      <w:r w:rsidR="00406F4C" w:rsidRPr="00DA02AC">
        <w:rPr>
          <w:rFonts w:cstheme="minorHAnsi"/>
        </w:rPr>
        <w:t xml:space="preserve">We are </w:t>
      </w:r>
      <w:r w:rsidR="001728BA" w:rsidRPr="00DA02AC">
        <w:rPr>
          <w:rFonts w:cstheme="minorHAnsi"/>
        </w:rPr>
        <w:t xml:space="preserve">tracking </w:t>
      </w:r>
      <w:r w:rsidR="00406F4C" w:rsidRPr="00DA02AC">
        <w:rPr>
          <w:rFonts w:cstheme="minorHAnsi"/>
        </w:rPr>
        <w:t>the overall economic trends carefully both in domestic context as well as global context and are geared up to deal with both the opportunities and challenges in equal measure.”</w:t>
      </w:r>
    </w:p>
    <w:p w:rsidR="00717BA4" w:rsidRPr="00DA02AC" w:rsidRDefault="00717BA4">
      <w:pPr>
        <w:spacing w:after="0" w:line="288" w:lineRule="auto"/>
        <w:jc w:val="both"/>
        <w:rPr>
          <w:rFonts w:ascii="Tahoma" w:hAnsi="Tahoma" w:cs="Tahoma"/>
          <w:b/>
          <w:sz w:val="20"/>
          <w:szCs w:val="20"/>
        </w:rPr>
      </w:pPr>
    </w:p>
    <w:p w:rsidR="00717BA4" w:rsidRPr="00DA02AC" w:rsidRDefault="00717BA4" w:rsidP="00C65991">
      <w:pPr>
        <w:spacing w:after="0" w:line="240" w:lineRule="auto"/>
        <w:jc w:val="both"/>
        <w:rPr>
          <w:rFonts w:cstheme="minorHAnsi"/>
          <w:bCs/>
        </w:rPr>
      </w:pPr>
      <w:r w:rsidRPr="00DA02AC">
        <w:rPr>
          <w:rFonts w:ascii="Tahoma" w:hAnsi="Tahoma" w:cs="Tahoma"/>
          <w:b/>
          <w:color w:val="000000" w:themeColor="text1"/>
          <w:sz w:val="20"/>
          <w:szCs w:val="20"/>
        </w:rPr>
        <w:t>Commenting on the Q</w:t>
      </w:r>
      <w:r w:rsidR="00074AA5" w:rsidRPr="00DA02AC">
        <w:rPr>
          <w:rFonts w:ascii="Tahoma" w:hAnsi="Tahoma" w:cs="Tahoma"/>
          <w:b/>
          <w:color w:val="000000" w:themeColor="text1"/>
          <w:sz w:val="20"/>
          <w:szCs w:val="20"/>
        </w:rPr>
        <w:t>2</w:t>
      </w:r>
      <w:r w:rsidRPr="00DA02AC">
        <w:rPr>
          <w:rFonts w:ascii="Tahoma" w:hAnsi="Tahoma" w:cs="Tahoma"/>
          <w:b/>
          <w:color w:val="000000" w:themeColor="text1"/>
          <w:sz w:val="20"/>
          <w:szCs w:val="20"/>
        </w:rPr>
        <w:t xml:space="preserve"> performance</w:t>
      </w:r>
      <w:r w:rsidRPr="00DA02AC">
        <w:rPr>
          <w:rFonts w:ascii="Tahoma" w:hAnsi="Tahoma" w:cs="Tahoma"/>
          <w:color w:val="000000" w:themeColor="text1"/>
          <w:sz w:val="20"/>
          <w:szCs w:val="20"/>
        </w:rPr>
        <w:t xml:space="preserve">, </w:t>
      </w:r>
      <w:r w:rsidRPr="00DA02AC">
        <w:rPr>
          <w:rStyle w:val="Strong"/>
          <w:rFonts w:ascii="Tahoma" w:hAnsi="Tahoma" w:cs="Tahoma"/>
          <w:color w:val="000000" w:themeColor="text1"/>
          <w:sz w:val="20"/>
          <w:szCs w:val="20"/>
        </w:rPr>
        <w:t>S. Vijayanand, CEO, Amara Raja Batteries Limited said,</w:t>
      </w:r>
      <w:r w:rsidRPr="00DA02AC">
        <w:rPr>
          <w:rFonts w:ascii="Tahoma" w:hAnsi="Tahoma" w:cs="Tahoma"/>
          <w:color w:val="000000" w:themeColor="text1"/>
          <w:sz w:val="20"/>
          <w:szCs w:val="20"/>
          <w:lang w:val="en-US"/>
        </w:rPr>
        <w:t xml:space="preserve"> </w:t>
      </w:r>
      <w:r w:rsidR="00026E1E" w:rsidRPr="00DA02AC">
        <w:rPr>
          <w:rFonts w:cstheme="minorHAnsi"/>
          <w:bCs/>
        </w:rPr>
        <w:t>“</w:t>
      </w:r>
      <w:r w:rsidR="001728BA" w:rsidRPr="00DA02AC">
        <w:rPr>
          <w:rFonts w:cstheme="minorHAnsi"/>
          <w:bCs/>
        </w:rPr>
        <w:t xml:space="preserve">We have been operating all our manufacturing facilities near 100% capacity utilisation to keep pace with the demand ramp up. There have been some delays in the capacity expansion programs in the </w:t>
      </w:r>
      <w:r w:rsidR="00DA02AC">
        <w:rPr>
          <w:rFonts w:cstheme="minorHAnsi"/>
          <w:bCs/>
        </w:rPr>
        <w:t xml:space="preserve">last </w:t>
      </w:r>
      <w:r w:rsidR="001728BA" w:rsidRPr="00DA02AC">
        <w:rPr>
          <w:rFonts w:cstheme="minorHAnsi"/>
          <w:bCs/>
        </w:rPr>
        <w:t xml:space="preserve">couple of quarters due to COVID restrictions and we are working in a focused manner to </w:t>
      </w:r>
      <w:r w:rsidR="001728BA" w:rsidRPr="00DA02AC">
        <w:rPr>
          <w:rFonts w:cstheme="minorHAnsi"/>
          <w:bCs/>
        </w:rPr>
        <w:lastRenderedPageBreak/>
        <w:t>complete these projects which should help us to debottleneck supply constraints in the coming months. It is very heartening to see all the employees and business partners raise to the occasion to put in their best effort to meet the challenges posed by the pandemic.”</w:t>
      </w:r>
      <w:r w:rsidRPr="00DA02AC">
        <w:rPr>
          <w:rFonts w:cstheme="minorHAnsi"/>
          <w:bCs/>
        </w:rPr>
        <w:t xml:space="preserve"> </w:t>
      </w:r>
    </w:p>
    <w:p w:rsidR="00717BA4" w:rsidRPr="00DA02AC" w:rsidRDefault="00717BA4" w:rsidP="008045BC">
      <w:pPr>
        <w:spacing w:after="0" w:line="288" w:lineRule="auto"/>
        <w:jc w:val="both"/>
        <w:rPr>
          <w:rFonts w:ascii="Tahoma" w:hAnsi="Tahoma" w:cs="Tahoma"/>
          <w:b/>
          <w:sz w:val="20"/>
          <w:szCs w:val="20"/>
        </w:rPr>
      </w:pPr>
    </w:p>
    <w:p w:rsidR="00717BA4" w:rsidRPr="00DA02AC" w:rsidRDefault="00717BA4" w:rsidP="008045BC">
      <w:pPr>
        <w:spacing w:after="0" w:line="288" w:lineRule="auto"/>
        <w:jc w:val="both"/>
        <w:rPr>
          <w:rFonts w:ascii="Tahoma" w:hAnsi="Tahoma" w:cs="Tahoma"/>
          <w:b/>
          <w:sz w:val="20"/>
          <w:szCs w:val="20"/>
        </w:rPr>
      </w:pPr>
      <w:r w:rsidRPr="00DA02AC">
        <w:rPr>
          <w:rFonts w:ascii="Tahoma" w:hAnsi="Tahoma" w:cs="Tahoma"/>
          <w:b/>
          <w:sz w:val="20"/>
          <w:szCs w:val="20"/>
        </w:rPr>
        <w:t xml:space="preserve">About Amara Raja Batteries Limited </w:t>
      </w:r>
    </w:p>
    <w:p w:rsidR="00717BA4" w:rsidRPr="00DA02AC" w:rsidRDefault="00717BA4">
      <w:pPr>
        <w:pStyle w:val="NoSpacing"/>
        <w:spacing w:line="288" w:lineRule="auto"/>
        <w:jc w:val="both"/>
        <w:rPr>
          <w:rFonts w:ascii="Tahoma" w:hAnsi="Tahoma" w:cs="Tahoma"/>
          <w:sz w:val="20"/>
          <w:szCs w:val="20"/>
        </w:rPr>
      </w:pPr>
      <w:bookmarkStart w:id="1" w:name="_GoBack"/>
      <w:bookmarkEnd w:id="1"/>
      <w:r w:rsidRPr="00DA02AC">
        <w:rPr>
          <w:rFonts w:ascii="Tahoma" w:hAnsi="Tahoma" w:cs="Tahoma"/>
          <w:sz w:val="20"/>
          <w:szCs w:val="20"/>
        </w:rPr>
        <w:t xml:space="preserve">Amara Raja Batteries Limited is the technology leader and one of the largest manufacturers of </w:t>
      </w:r>
      <w:r w:rsidRPr="00DA02AC">
        <w:rPr>
          <w:rFonts w:ascii="Tahoma" w:hAnsi="Tahoma" w:cs="Tahoma"/>
          <w:noProof/>
          <w:sz w:val="20"/>
          <w:szCs w:val="20"/>
        </w:rPr>
        <w:t>lead-acid</w:t>
      </w:r>
      <w:r w:rsidRPr="00DA02AC">
        <w:rPr>
          <w:rFonts w:ascii="Tahoma" w:hAnsi="Tahoma" w:cs="Tahoma"/>
          <w:sz w:val="20"/>
          <w:szCs w:val="20"/>
        </w:rPr>
        <w:t xml:space="preserve"> batteries for both industrial and automotive applications in the Indian storage battery industry.</w:t>
      </w:r>
    </w:p>
    <w:p w:rsidR="00717BA4" w:rsidRPr="00DA02AC" w:rsidRDefault="00717BA4">
      <w:pPr>
        <w:pStyle w:val="NoSpacing"/>
        <w:spacing w:line="288" w:lineRule="auto"/>
        <w:jc w:val="both"/>
        <w:rPr>
          <w:rFonts w:ascii="Tahoma" w:hAnsi="Tahoma" w:cs="Tahoma"/>
          <w:sz w:val="20"/>
          <w:szCs w:val="20"/>
        </w:rPr>
      </w:pPr>
      <w:r w:rsidRPr="00DA02AC">
        <w:rPr>
          <w:rFonts w:ascii="Tahoma" w:hAnsi="Tahoma" w:cs="Tahoma"/>
          <w:sz w:val="20"/>
          <w:szCs w:val="20"/>
        </w:rPr>
        <w:t xml:space="preserve">In India, Amara Raja is the preferred supplier to major telecom service providers, Telecom equipment manufacturers, the UPS sector (OEM &amp; Replacement), Indian Railways and to the Power, Oil &amp; Gas, among other industry segments. Amara Raja’s industrial battery brands comprise </w:t>
      </w:r>
      <w:proofErr w:type="spellStart"/>
      <w:r w:rsidRPr="00DA02AC">
        <w:rPr>
          <w:rFonts w:ascii="Tahoma" w:hAnsi="Tahoma" w:cs="Tahoma"/>
          <w:sz w:val="20"/>
          <w:szCs w:val="20"/>
        </w:rPr>
        <w:t>PowerStack</w:t>
      </w:r>
      <w:proofErr w:type="spellEnd"/>
      <w:r w:rsidRPr="00DA02AC">
        <w:rPr>
          <w:rFonts w:ascii="Tahoma" w:hAnsi="Tahoma" w:cs="Tahoma"/>
          <w:sz w:val="20"/>
          <w:szCs w:val="20"/>
          <w:vertAlign w:val="superscript"/>
        </w:rPr>
        <w:t>®</w:t>
      </w:r>
      <w:r w:rsidRPr="00DA02AC">
        <w:rPr>
          <w:rFonts w:ascii="Tahoma" w:hAnsi="Tahoma" w:cs="Tahoma"/>
          <w:sz w:val="20"/>
          <w:szCs w:val="20"/>
        </w:rPr>
        <w:t xml:space="preserve">, </w:t>
      </w:r>
      <w:proofErr w:type="spellStart"/>
      <w:r w:rsidRPr="00DA02AC">
        <w:rPr>
          <w:rFonts w:ascii="Tahoma" w:hAnsi="Tahoma" w:cs="Tahoma"/>
          <w:sz w:val="20"/>
          <w:szCs w:val="20"/>
        </w:rPr>
        <w:t>AmaronVolt</w:t>
      </w:r>
      <w:proofErr w:type="spellEnd"/>
      <w:r w:rsidRPr="00DA02AC">
        <w:rPr>
          <w:rFonts w:ascii="Tahoma" w:hAnsi="Tahoma" w:cs="Tahoma"/>
          <w:sz w:val="20"/>
          <w:szCs w:val="20"/>
          <w:vertAlign w:val="superscript"/>
        </w:rPr>
        <w:t>®</w:t>
      </w:r>
      <w:r w:rsidRPr="00DA02AC">
        <w:rPr>
          <w:rFonts w:ascii="Tahoma" w:hAnsi="Tahoma" w:cs="Tahoma"/>
          <w:sz w:val="20"/>
          <w:szCs w:val="20"/>
        </w:rPr>
        <w:t xml:space="preserve"> and Quanta</w:t>
      </w:r>
      <w:r w:rsidRPr="00DA02AC">
        <w:rPr>
          <w:rFonts w:ascii="Tahoma" w:hAnsi="Tahoma" w:cs="Tahoma"/>
          <w:sz w:val="20"/>
          <w:szCs w:val="20"/>
          <w:vertAlign w:val="superscript"/>
        </w:rPr>
        <w:t>®</w:t>
      </w:r>
      <w:r w:rsidRPr="00DA02AC">
        <w:rPr>
          <w:rFonts w:ascii="Tahoma" w:hAnsi="Tahoma" w:cs="Tahoma"/>
          <w:sz w:val="20"/>
          <w:szCs w:val="20"/>
        </w:rPr>
        <w:t>. The Company is a leading manufacturer of automotive batteries under the brands Amaron</w:t>
      </w:r>
      <w:r w:rsidRPr="00DA02AC">
        <w:rPr>
          <w:rFonts w:ascii="Tahoma" w:hAnsi="Tahoma" w:cs="Tahoma"/>
          <w:sz w:val="20"/>
          <w:szCs w:val="20"/>
          <w:vertAlign w:val="superscript"/>
        </w:rPr>
        <w:t>®</w:t>
      </w:r>
      <w:r w:rsidRPr="00DA02AC">
        <w:rPr>
          <w:rFonts w:ascii="Tahoma" w:hAnsi="Tahoma" w:cs="Tahoma"/>
          <w:sz w:val="20"/>
          <w:szCs w:val="20"/>
        </w:rPr>
        <w:t xml:space="preserve"> and </w:t>
      </w:r>
      <w:r w:rsidRPr="00DA02AC">
        <w:rPr>
          <w:rFonts w:ascii="Tahoma" w:hAnsi="Tahoma" w:cs="Tahoma"/>
          <w:noProof/>
          <w:sz w:val="20"/>
          <w:szCs w:val="20"/>
        </w:rPr>
        <w:t>Powerzone</w:t>
      </w:r>
      <w:r w:rsidRPr="00DA02AC">
        <w:rPr>
          <w:rFonts w:ascii="Tahoma" w:hAnsi="Tahoma" w:cs="Tahoma"/>
          <w:noProof/>
          <w:sz w:val="20"/>
          <w:szCs w:val="20"/>
          <w:vertAlign w:val="superscript"/>
        </w:rPr>
        <w:t>TM</w:t>
      </w:r>
      <w:r w:rsidRPr="00DA02AC">
        <w:rPr>
          <w:rFonts w:ascii="Tahoma" w:hAnsi="Tahoma" w:cs="Tahoma"/>
          <w:sz w:val="20"/>
          <w:szCs w:val="20"/>
        </w:rPr>
        <w:t>, which are distributed through a large Pan-India sales &amp; service retail network.</w:t>
      </w:r>
    </w:p>
    <w:p w:rsidR="00717BA4" w:rsidRPr="00DA02AC" w:rsidRDefault="00717BA4">
      <w:pPr>
        <w:pStyle w:val="NoSpacing"/>
        <w:spacing w:line="288" w:lineRule="auto"/>
        <w:jc w:val="both"/>
        <w:rPr>
          <w:rFonts w:ascii="Tahoma" w:hAnsi="Tahoma" w:cs="Tahoma"/>
          <w:sz w:val="20"/>
          <w:szCs w:val="20"/>
        </w:rPr>
      </w:pPr>
      <w:r w:rsidRPr="00DA02AC">
        <w:rPr>
          <w:rFonts w:ascii="Tahoma" w:hAnsi="Tahoma" w:cs="Tahoma"/>
          <w:sz w:val="20"/>
          <w:szCs w:val="20"/>
        </w:rPr>
        <w:t>The Company supplies automotive batteries under OE relationships to Ashok Leyland, Ford India, Honda, Hyundai, Mahindra &amp; Mahindra, Maruti Suzuki, and Tata Motors. The Company’s Industrial and Automotive Batteries are exported to countries in the Indian Ocean Rim.</w:t>
      </w:r>
    </w:p>
    <w:p w:rsidR="00717BA4" w:rsidRPr="00DA02AC" w:rsidRDefault="00717BA4">
      <w:pPr>
        <w:pStyle w:val="NoSpacing"/>
        <w:spacing w:line="288" w:lineRule="auto"/>
        <w:jc w:val="both"/>
        <w:rPr>
          <w:rFonts w:ascii="Tahoma" w:hAnsi="Tahoma" w:cs="Tahoma"/>
          <w:color w:val="000000"/>
          <w:sz w:val="20"/>
          <w:szCs w:val="20"/>
        </w:rPr>
      </w:pPr>
    </w:p>
    <w:p w:rsidR="00717BA4" w:rsidRPr="00DA02AC" w:rsidRDefault="00717BA4">
      <w:pPr>
        <w:spacing w:after="0" w:line="288" w:lineRule="auto"/>
        <w:jc w:val="both"/>
        <w:rPr>
          <w:rFonts w:ascii="Tahoma" w:eastAsia="Times New Roman" w:hAnsi="Tahoma" w:cs="Tahoma"/>
          <w:sz w:val="20"/>
          <w:szCs w:val="20"/>
        </w:rPr>
      </w:pPr>
      <w:r w:rsidRPr="00DA02AC">
        <w:rPr>
          <w:rFonts w:ascii="Tahoma" w:eastAsia="Times New Roman" w:hAnsi="Tahoma" w:cs="Tahoma"/>
          <w:b/>
          <w:bCs/>
          <w:sz w:val="20"/>
          <w:szCs w:val="20"/>
        </w:rPr>
        <w:t xml:space="preserve">Safe </w:t>
      </w:r>
      <w:proofErr w:type="spellStart"/>
      <w:r w:rsidRPr="00DA02AC">
        <w:rPr>
          <w:rFonts w:ascii="Tahoma" w:eastAsia="Times New Roman" w:hAnsi="Tahoma" w:cs="Tahoma"/>
          <w:b/>
          <w:bCs/>
          <w:sz w:val="20"/>
          <w:szCs w:val="20"/>
        </w:rPr>
        <w:t>Harbor</w:t>
      </w:r>
      <w:proofErr w:type="spellEnd"/>
    </w:p>
    <w:p w:rsidR="00C65991" w:rsidRPr="009718F4" w:rsidRDefault="00717BA4">
      <w:pPr>
        <w:spacing w:after="0" w:line="288" w:lineRule="auto"/>
        <w:jc w:val="both"/>
        <w:rPr>
          <w:rFonts w:ascii="Tahoma" w:hAnsi="Tahoma" w:cs="Tahoma"/>
          <w:sz w:val="20"/>
          <w:szCs w:val="20"/>
        </w:rPr>
      </w:pPr>
      <w:r w:rsidRPr="00DA02AC">
        <w:rPr>
          <w:rFonts w:ascii="Tahoma" w:hAnsi="Tahoma" w:cs="Tahoma"/>
          <w:sz w:val="20"/>
          <w:szCs w:val="20"/>
        </w:rPr>
        <w:t>Some of the statements in this news release that are not historical facts are forward looking statements. These forward looking statements include our financial and growth projections as well as statements concerning our plans, strategies, intentions and beliefs concerning our business and the markets in which we operate. These statements are based on information currently available to us, and we assume no obligation to update these statements as circumstances change. There are risks and uncertainties that could cause actual events to differ materially from these forward looking statements. These risks include, but are not limited to, the level of the market demand for our products, the highly competitive market for the types of the products that we offer, market condition that would cause our customers to reduce their spending for our products, our ability to create, acquire and build new businesses and to grow our existing businesses, our ability to attract and retain qualified personnel, currency fluctuations and market conditions in India and elsewhere around the world, and otherwise not specifically mentioned herein but those that are common to industry.</w:t>
      </w:r>
    </w:p>
    <w:p w:rsidR="00150AEF" w:rsidRPr="00A45B86" w:rsidRDefault="00150AEF">
      <w:pPr>
        <w:autoSpaceDE w:val="0"/>
        <w:autoSpaceDN w:val="0"/>
        <w:spacing w:line="288" w:lineRule="auto"/>
        <w:jc w:val="both"/>
        <w:rPr>
          <w:rFonts w:ascii="Tahoma" w:hAnsi="Tahoma" w:cs="Tahoma"/>
          <w:sz w:val="20"/>
          <w:szCs w:val="20"/>
        </w:rPr>
      </w:pPr>
    </w:p>
    <w:sectPr w:rsidR="00150AEF" w:rsidRPr="00A45B86" w:rsidSect="005A7B95">
      <w:headerReference w:type="default" r:id="rId7"/>
      <w:pgSz w:w="11906" w:h="16838"/>
      <w:pgMar w:top="180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E57" w:rsidRDefault="006E3E57" w:rsidP="00150AEF">
      <w:pPr>
        <w:spacing w:after="0" w:line="240" w:lineRule="auto"/>
      </w:pPr>
      <w:r>
        <w:separator/>
      </w:r>
    </w:p>
  </w:endnote>
  <w:endnote w:type="continuationSeparator" w:id="0">
    <w:p w:rsidR="006E3E57" w:rsidRDefault="006E3E57" w:rsidP="0015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E57" w:rsidRDefault="006E3E57" w:rsidP="00150AEF">
      <w:pPr>
        <w:spacing w:after="0" w:line="240" w:lineRule="auto"/>
      </w:pPr>
      <w:r>
        <w:separator/>
      </w:r>
    </w:p>
  </w:footnote>
  <w:footnote w:type="continuationSeparator" w:id="0">
    <w:p w:rsidR="006E3E57" w:rsidRDefault="006E3E57" w:rsidP="00150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95" w:rsidRPr="006543C0" w:rsidRDefault="005A7B95" w:rsidP="005A7B95">
    <w:pPr>
      <w:pStyle w:val="Header"/>
      <w:rPr>
        <w:rFonts w:ascii="Tahoma" w:hAnsi="Tahoma" w:cs="Tahoma"/>
        <w:sz w:val="20"/>
        <w:szCs w:val="20"/>
      </w:rPr>
    </w:pPr>
    <w:r w:rsidRPr="006543C0">
      <w:rPr>
        <w:rFonts w:ascii="Tahoma" w:eastAsia="Times New Roman" w:hAnsi="Tahoma" w:cs="Tahoma"/>
        <w:noProof/>
        <w:color w:val="636363"/>
        <w:sz w:val="20"/>
        <w:szCs w:val="20"/>
        <w:lang w:val="en-US"/>
      </w:rPr>
      <w:drawing>
        <wp:anchor distT="0" distB="0" distL="114300" distR="114300" simplePos="0" relativeHeight="251659264" behindDoc="0" locked="0" layoutInCell="1" allowOverlap="1" wp14:anchorId="3D2348B7" wp14:editId="0DA96FD2">
          <wp:simplePos x="0" y="0"/>
          <wp:positionH relativeFrom="page">
            <wp:posOffset>5724525</wp:posOffset>
          </wp:positionH>
          <wp:positionV relativeFrom="paragraph">
            <wp:posOffset>-190500</wp:posOffset>
          </wp:positionV>
          <wp:extent cx="932815" cy="85725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815" cy="857250"/>
                  </a:xfrm>
                  <a:prstGeom prst="rect">
                    <a:avLst/>
                  </a:prstGeom>
                </pic:spPr>
              </pic:pic>
            </a:graphicData>
          </a:graphic>
          <wp14:sizeRelH relativeFrom="margin">
            <wp14:pctWidth>0</wp14:pctWidth>
          </wp14:sizeRelH>
          <wp14:sizeRelV relativeFrom="margin">
            <wp14:pctHeight>0</wp14:pctHeight>
          </wp14:sizeRelV>
        </wp:anchor>
      </w:drawing>
    </w:r>
    <w:r w:rsidRPr="006543C0">
      <w:rPr>
        <w:rFonts w:ascii="Tahoma" w:hAnsi="Tahoma" w:cs="Tahoma"/>
        <w:sz w:val="20"/>
        <w:szCs w:val="20"/>
      </w:rPr>
      <w:t xml:space="preserve">Press </w:t>
    </w:r>
    <w:r>
      <w:rPr>
        <w:rFonts w:ascii="Tahoma" w:hAnsi="Tahoma" w:cs="Tahoma"/>
        <w:sz w:val="20"/>
        <w:szCs w:val="20"/>
      </w:rPr>
      <w:t>R</w:t>
    </w:r>
    <w:r w:rsidRPr="006543C0">
      <w:rPr>
        <w:rFonts w:ascii="Tahoma" w:hAnsi="Tahoma" w:cs="Tahoma"/>
        <w:sz w:val="20"/>
        <w:szCs w:val="20"/>
      </w:rPr>
      <w:t>elease</w:t>
    </w:r>
  </w:p>
  <w:p w:rsidR="00150AEF" w:rsidRDefault="005A7B95" w:rsidP="005A7B95">
    <w:pPr>
      <w:pStyle w:val="Header"/>
    </w:pPr>
    <w:r w:rsidRPr="006543C0">
      <w:rPr>
        <w:rFonts w:ascii="Tahoma" w:hAnsi="Tahoma" w:cs="Tahoma"/>
        <w:sz w:val="20"/>
        <w:szCs w:val="20"/>
      </w:rPr>
      <w:t>For Immediate dissemination</w:t>
    </w:r>
    <w:r w:rsidRPr="006543C0">
      <w:rPr>
        <w:rFonts w:ascii="Tahoma" w:eastAsia="Times New Roman" w:hAnsi="Tahoma" w:cs="Tahoma"/>
        <w:noProof/>
        <w:color w:val="636363"/>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42B"/>
    <w:multiLevelType w:val="hybridMultilevel"/>
    <w:tmpl w:val="6EC6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F73B3"/>
    <w:multiLevelType w:val="hybridMultilevel"/>
    <w:tmpl w:val="EC1A61D6"/>
    <w:lvl w:ilvl="0" w:tplc="A9B2B1DC">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6D30094D"/>
    <w:multiLevelType w:val="hybridMultilevel"/>
    <w:tmpl w:val="E29AD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E5"/>
    <w:rsid w:val="00026E1E"/>
    <w:rsid w:val="000300B4"/>
    <w:rsid w:val="00074AA5"/>
    <w:rsid w:val="00096EAA"/>
    <w:rsid w:val="000B127C"/>
    <w:rsid w:val="000D0D7B"/>
    <w:rsid w:val="000E748F"/>
    <w:rsid w:val="000F70A2"/>
    <w:rsid w:val="00111429"/>
    <w:rsid w:val="00145FC6"/>
    <w:rsid w:val="00150AEF"/>
    <w:rsid w:val="001572DD"/>
    <w:rsid w:val="001728BA"/>
    <w:rsid w:val="001D41DD"/>
    <w:rsid w:val="001D4D52"/>
    <w:rsid w:val="001E5639"/>
    <w:rsid w:val="001F77E5"/>
    <w:rsid w:val="002456E6"/>
    <w:rsid w:val="002C5DB9"/>
    <w:rsid w:val="002E1496"/>
    <w:rsid w:val="00320D44"/>
    <w:rsid w:val="003231E2"/>
    <w:rsid w:val="00342223"/>
    <w:rsid w:val="003522F0"/>
    <w:rsid w:val="00365856"/>
    <w:rsid w:val="00373735"/>
    <w:rsid w:val="003866E5"/>
    <w:rsid w:val="003C2844"/>
    <w:rsid w:val="003C7986"/>
    <w:rsid w:val="003D36FC"/>
    <w:rsid w:val="003E6C41"/>
    <w:rsid w:val="004018DF"/>
    <w:rsid w:val="00402B54"/>
    <w:rsid w:val="00406F4C"/>
    <w:rsid w:val="0042302D"/>
    <w:rsid w:val="00480A44"/>
    <w:rsid w:val="00487284"/>
    <w:rsid w:val="004A2115"/>
    <w:rsid w:val="004A363D"/>
    <w:rsid w:val="004D3E4B"/>
    <w:rsid w:val="005220AE"/>
    <w:rsid w:val="00524988"/>
    <w:rsid w:val="00555690"/>
    <w:rsid w:val="00563C68"/>
    <w:rsid w:val="005851A9"/>
    <w:rsid w:val="005933FE"/>
    <w:rsid w:val="00597EC6"/>
    <w:rsid w:val="005A7B95"/>
    <w:rsid w:val="005B7F21"/>
    <w:rsid w:val="005D7680"/>
    <w:rsid w:val="005E53D6"/>
    <w:rsid w:val="005F2F9B"/>
    <w:rsid w:val="00631E66"/>
    <w:rsid w:val="00643CE2"/>
    <w:rsid w:val="006556ED"/>
    <w:rsid w:val="00656E1C"/>
    <w:rsid w:val="006C0D88"/>
    <w:rsid w:val="006C7E6D"/>
    <w:rsid w:val="006E3E57"/>
    <w:rsid w:val="0070693A"/>
    <w:rsid w:val="00713164"/>
    <w:rsid w:val="007144E5"/>
    <w:rsid w:val="00717BA4"/>
    <w:rsid w:val="00740A85"/>
    <w:rsid w:val="007426E0"/>
    <w:rsid w:val="007A78AC"/>
    <w:rsid w:val="007F211A"/>
    <w:rsid w:val="008045BC"/>
    <w:rsid w:val="00830F5A"/>
    <w:rsid w:val="0084320E"/>
    <w:rsid w:val="00857E67"/>
    <w:rsid w:val="008748C5"/>
    <w:rsid w:val="0088675D"/>
    <w:rsid w:val="008C14A2"/>
    <w:rsid w:val="008C1D9D"/>
    <w:rsid w:val="008C1DA7"/>
    <w:rsid w:val="008C1DCC"/>
    <w:rsid w:val="008C66C5"/>
    <w:rsid w:val="008C71C0"/>
    <w:rsid w:val="008C777C"/>
    <w:rsid w:val="008C78E6"/>
    <w:rsid w:val="008D34D3"/>
    <w:rsid w:val="008F1165"/>
    <w:rsid w:val="00905CC3"/>
    <w:rsid w:val="00905E99"/>
    <w:rsid w:val="00911D5E"/>
    <w:rsid w:val="00914642"/>
    <w:rsid w:val="00937C43"/>
    <w:rsid w:val="00957CA1"/>
    <w:rsid w:val="00965766"/>
    <w:rsid w:val="0097380F"/>
    <w:rsid w:val="00984A98"/>
    <w:rsid w:val="009948B3"/>
    <w:rsid w:val="009A7659"/>
    <w:rsid w:val="009B3C61"/>
    <w:rsid w:val="009C1A41"/>
    <w:rsid w:val="009E4000"/>
    <w:rsid w:val="00A074FE"/>
    <w:rsid w:val="00A407D2"/>
    <w:rsid w:val="00A45965"/>
    <w:rsid w:val="00A45B86"/>
    <w:rsid w:val="00A52C7E"/>
    <w:rsid w:val="00AA1227"/>
    <w:rsid w:val="00AC033E"/>
    <w:rsid w:val="00AC7E16"/>
    <w:rsid w:val="00AD2FF6"/>
    <w:rsid w:val="00AF0B93"/>
    <w:rsid w:val="00AF60D0"/>
    <w:rsid w:val="00B16C48"/>
    <w:rsid w:val="00B4725E"/>
    <w:rsid w:val="00B66B1F"/>
    <w:rsid w:val="00B82650"/>
    <w:rsid w:val="00B87BF5"/>
    <w:rsid w:val="00B91288"/>
    <w:rsid w:val="00B9224C"/>
    <w:rsid w:val="00B92C2D"/>
    <w:rsid w:val="00B94718"/>
    <w:rsid w:val="00B977AD"/>
    <w:rsid w:val="00BA223E"/>
    <w:rsid w:val="00BA4E5A"/>
    <w:rsid w:val="00BB4BE5"/>
    <w:rsid w:val="00BD38C2"/>
    <w:rsid w:val="00BD4264"/>
    <w:rsid w:val="00BD5D31"/>
    <w:rsid w:val="00BF4427"/>
    <w:rsid w:val="00BF51D4"/>
    <w:rsid w:val="00C0115D"/>
    <w:rsid w:val="00C0242B"/>
    <w:rsid w:val="00C25A58"/>
    <w:rsid w:val="00C65991"/>
    <w:rsid w:val="00C6661E"/>
    <w:rsid w:val="00C7189B"/>
    <w:rsid w:val="00C723F0"/>
    <w:rsid w:val="00C75525"/>
    <w:rsid w:val="00C779BC"/>
    <w:rsid w:val="00C86DF1"/>
    <w:rsid w:val="00C956DF"/>
    <w:rsid w:val="00CD4D9C"/>
    <w:rsid w:val="00CD7848"/>
    <w:rsid w:val="00CE1678"/>
    <w:rsid w:val="00CE181D"/>
    <w:rsid w:val="00CF1E8A"/>
    <w:rsid w:val="00D07951"/>
    <w:rsid w:val="00D343EE"/>
    <w:rsid w:val="00D52506"/>
    <w:rsid w:val="00D7033E"/>
    <w:rsid w:val="00D87B9C"/>
    <w:rsid w:val="00D93D96"/>
    <w:rsid w:val="00D9537B"/>
    <w:rsid w:val="00DA02AC"/>
    <w:rsid w:val="00DE067F"/>
    <w:rsid w:val="00E326AA"/>
    <w:rsid w:val="00E47F87"/>
    <w:rsid w:val="00E94076"/>
    <w:rsid w:val="00EA12CE"/>
    <w:rsid w:val="00EA629D"/>
    <w:rsid w:val="00EE5AE1"/>
    <w:rsid w:val="00EE5C35"/>
    <w:rsid w:val="00F139FC"/>
    <w:rsid w:val="00F34072"/>
    <w:rsid w:val="00F423B7"/>
    <w:rsid w:val="00F423D2"/>
    <w:rsid w:val="00F446FF"/>
    <w:rsid w:val="00F74C6F"/>
    <w:rsid w:val="00F75773"/>
    <w:rsid w:val="00FA60EC"/>
    <w:rsid w:val="00FC3182"/>
    <w:rsid w:val="00FC7ED6"/>
    <w:rsid w:val="00FD0D8A"/>
    <w:rsid w:val="00FD393B"/>
    <w:rsid w:val="00FE0902"/>
    <w:rsid w:val="00FF2A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47AD29-88B5-4FCB-BAA2-9F129025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F77E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link w:val="Heading5Char"/>
    <w:uiPriority w:val="9"/>
    <w:qFormat/>
    <w:rsid w:val="001F77E5"/>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7E5"/>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1F77E5"/>
    <w:rPr>
      <w:rFonts w:ascii="Times New Roman" w:eastAsia="Times New Roman" w:hAnsi="Times New Roman" w:cs="Times New Roman"/>
      <w:b/>
      <w:bCs/>
      <w:sz w:val="20"/>
      <w:szCs w:val="20"/>
      <w:lang w:eastAsia="en-IN"/>
    </w:rPr>
  </w:style>
  <w:style w:type="paragraph" w:styleId="NormalWeb">
    <w:name w:val="Normal (Web)"/>
    <w:basedOn w:val="Normal"/>
    <w:uiPriority w:val="99"/>
    <w:unhideWhenUsed/>
    <w:rsid w:val="001F77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F77E5"/>
    <w:rPr>
      <w:b/>
      <w:bCs/>
    </w:rPr>
  </w:style>
  <w:style w:type="paragraph" w:styleId="ListParagraph">
    <w:name w:val="List Paragraph"/>
    <w:basedOn w:val="Normal"/>
    <w:uiPriority w:val="34"/>
    <w:qFormat/>
    <w:rsid w:val="00F446FF"/>
    <w:pPr>
      <w:spacing w:after="0" w:line="240" w:lineRule="auto"/>
      <w:ind w:left="720"/>
    </w:pPr>
    <w:rPr>
      <w:rFonts w:ascii="Calibri" w:hAnsi="Calibri" w:cs="Calibri"/>
      <w:lang w:eastAsia="en-IN"/>
    </w:rPr>
  </w:style>
  <w:style w:type="paragraph" w:styleId="NoSpacing">
    <w:name w:val="No Spacing"/>
    <w:uiPriority w:val="1"/>
    <w:qFormat/>
    <w:rsid w:val="00BD38C2"/>
    <w:pPr>
      <w:spacing w:after="0" w:line="240" w:lineRule="auto"/>
    </w:pPr>
  </w:style>
  <w:style w:type="table" w:styleId="TableGrid">
    <w:name w:val="Table Grid"/>
    <w:basedOn w:val="TableNormal"/>
    <w:uiPriority w:val="59"/>
    <w:rsid w:val="00150AE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50AEF"/>
    <w:rPr>
      <w:i/>
      <w:iCs/>
    </w:rPr>
  </w:style>
  <w:style w:type="paragraph" w:styleId="Header">
    <w:name w:val="header"/>
    <w:basedOn w:val="Normal"/>
    <w:link w:val="HeaderChar"/>
    <w:uiPriority w:val="99"/>
    <w:unhideWhenUsed/>
    <w:rsid w:val="00150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AEF"/>
  </w:style>
  <w:style w:type="paragraph" w:styleId="Footer">
    <w:name w:val="footer"/>
    <w:basedOn w:val="Normal"/>
    <w:link w:val="FooterChar"/>
    <w:uiPriority w:val="99"/>
    <w:unhideWhenUsed/>
    <w:rsid w:val="00150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AEF"/>
  </w:style>
  <w:style w:type="paragraph" w:styleId="BalloonText">
    <w:name w:val="Balloon Text"/>
    <w:basedOn w:val="Normal"/>
    <w:link w:val="BalloonTextChar"/>
    <w:uiPriority w:val="99"/>
    <w:semiHidden/>
    <w:unhideWhenUsed/>
    <w:rsid w:val="00FC7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0385">
      <w:bodyDiv w:val="1"/>
      <w:marLeft w:val="0"/>
      <w:marRight w:val="0"/>
      <w:marTop w:val="0"/>
      <w:marBottom w:val="0"/>
      <w:divBdr>
        <w:top w:val="none" w:sz="0" w:space="0" w:color="auto"/>
        <w:left w:val="none" w:sz="0" w:space="0" w:color="auto"/>
        <w:bottom w:val="none" w:sz="0" w:space="0" w:color="auto"/>
        <w:right w:val="none" w:sz="0" w:space="0" w:color="auto"/>
      </w:divBdr>
    </w:div>
    <w:div w:id="189150431">
      <w:bodyDiv w:val="1"/>
      <w:marLeft w:val="0"/>
      <w:marRight w:val="0"/>
      <w:marTop w:val="0"/>
      <w:marBottom w:val="0"/>
      <w:divBdr>
        <w:top w:val="none" w:sz="0" w:space="0" w:color="auto"/>
        <w:left w:val="none" w:sz="0" w:space="0" w:color="auto"/>
        <w:bottom w:val="none" w:sz="0" w:space="0" w:color="auto"/>
        <w:right w:val="none" w:sz="0" w:space="0" w:color="auto"/>
      </w:divBdr>
    </w:div>
    <w:div w:id="447357423">
      <w:bodyDiv w:val="1"/>
      <w:marLeft w:val="0"/>
      <w:marRight w:val="0"/>
      <w:marTop w:val="0"/>
      <w:marBottom w:val="0"/>
      <w:divBdr>
        <w:top w:val="none" w:sz="0" w:space="0" w:color="auto"/>
        <w:left w:val="none" w:sz="0" w:space="0" w:color="auto"/>
        <w:bottom w:val="none" w:sz="0" w:space="0" w:color="auto"/>
        <w:right w:val="none" w:sz="0" w:space="0" w:color="auto"/>
      </w:divBdr>
    </w:div>
    <w:div w:id="686369423">
      <w:bodyDiv w:val="1"/>
      <w:marLeft w:val="0"/>
      <w:marRight w:val="0"/>
      <w:marTop w:val="0"/>
      <w:marBottom w:val="0"/>
      <w:divBdr>
        <w:top w:val="none" w:sz="0" w:space="0" w:color="auto"/>
        <w:left w:val="none" w:sz="0" w:space="0" w:color="auto"/>
        <w:bottom w:val="none" w:sz="0" w:space="0" w:color="auto"/>
        <w:right w:val="none" w:sz="0" w:space="0" w:color="auto"/>
      </w:divBdr>
    </w:div>
    <w:div w:id="846213431">
      <w:bodyDiv w:val="1"/>
      <w:marLeft w:val="0"/>
      <w:marRight w:val="0"/>
      <w:marTop w:val="0"/>
      <w:marBottom w:val="0"/>
      <w:divBdr>
        <w:top w:val="none" w:sz="0" w:space="0" w:color="auto"/>
        <w:left w:val="none" w:sz="0" w:space="0" w:color="auto"/>
        <w:bottom w:val="none" w:sz="0" w:space="0" w:color="auto"/>
        <w:right w:val="none" w:sz="0" w:space="0" w:color="auto"/>
      </w:divBdr>
    </w:div>
    <w:div w:id="862400803">
      <w:bodyDiv w:val="1"/>
      <w:marLeft w:val="0"/>
      <w:marRight w:val="0"/>
      <w:marTop w:val="0"/>
      <w:marBottom w:val="0"/>
      <w:divBdr>
        <w:top w:val="none" w:sz="0" w:space="0" w:color="auto"/>
        <w:left w:val="none" w:sz="0" w:space="0" w:color="auto"/>
        <w:bottom w:val="none" w:sz="0" w:space="0" w:color="auto"/>
        <w:right w:val="none" w:sz="0" w:space="0" w:color="auto"/>
      </w:divBdr>
    </w:div>
    <w:div w:id="1085955097">
      <w:bodyDiv w:val="1"/>
      <w:marLeft w:val="0"/>
      <w:marRight w:val="0"/>
      <w:marTop w:val="0"/>
      <w:marBottom w:val="0"/>
      <w:divBdr>
        <w:top w:val="none" w:sz="0" w:space="0" w:color="auto"/>
        <w:left w:val="none" w:sz="0" w:space="0" w:color="auto"/>
        <w:bottom w:val="none" w:sz="0" w:space="0" w:color="auto"/>
        <w:right w:val="none" w:sz="0" w:space="0" w:color="auto"/>
      </w:divBdr>
    </w:div>
    <w:div w:id="1131291248">
      <w:bodyDiv w:val="1"/>
      <w:marLeft w:val="0"/>
      <w:marRight w:val="0"/>
      <w:marTop w:val="0"/>
      <w:marBottom w:val="0"/>
      <w:divBdr>
        <w:top w:val="none" w:sz="0" w:space="0" w:color="auto"/>
        <w:left w:val="none" w:sz="0" w:space="0" w:color="auto"/>
        <w:bottom w:val="none" w:sz="0" w:space="0" w:color="auto"/>
        <w:right w:val="none" w:sz="0" w:space="0" w:color="auto"/>
      </w:divBdr>
    </w:div>
    <w:div w:id="1273587595">
      <w:bodyDiv w:val="1"/>
      <w:marLeft w:val="0"/>
      <w:marRight w:val="0"/>
      <w:marTop w:val="0"/>
      <w:marBottom w:val="0"/>
      <w:divBdr>
        <w:top w:val="none" w:sz="0" w:space="0" w:color="auto"/>
        <w:left w:val="none" w:sz="0" w:space="0" w:color="auto"/>
        <w:bottom w:val="none" w:sz="0" w:space="0" w:color="auto"/>
        <w:right w:val="none" w:sz="0" w:space="0" w:color="auto"/>
      </w:divBdr>
    </w:div>
    <w:div w:id="1417287627">
      <w:bodyDiv w:val="1"/>
      <w:marLeft w:val="0"/>
      <w:marRight w:val="0"/>
      <w:marTop w:val="0"/>
      <w:marBottom w:val="0"/>
      <w:divBdr>
        <w:top w:val="none" w:sz="0" w:space="0" w:color="auto"/>
        <w:left w:val="none" w:sz="0" w:space="0" w:color="auto"/>
        <w:bottom w:val="none" w:sz="0" w:space="0" w:color="auto"/>
        <w:right w:val="none" w:sz="0" w:space="0" w:color="auto"/>
      </w:divBdr>
    </w:div>
    <w:div w:id="1689452556">
      <w:bodyDiv w:val="1"/>
      <w:marLeft w:val="0"/>
      <w:marRight w:val="0"/>
      <w:marTop w:val="0"/>
      <w:marBottom w:val="0"/>
      <w:divBdr>
        <w:top w:val="none" w:sz="0" w:space="0" w:color="auto"/>
        <w:left w:val="none" w:sz="0" w:space="0" w:color="auto"/>
        <w:bottom w:val="none" w:sz="0" w:space="0" w:color="auto"/>
        <w:right w:val="none" w:sz="0" w:space="0" w:color="auto"/>
      </w:divBdr>
    </w:div>
    <w:div w:id="20963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Soham Majumdar</dc:creator>
  <cp:keywords/>
  <dc:description/>
  <cp:lastModifiedBy>Sunny Sharma</cp:lastModifiedBy>
  <cp:revision>3</cp:revision>
  <cp:lastPrinted>2020-08-07T09:52:00Z</cp:lastPrinted>
  <dcterms:created xsi:type="dcterms:W3CDTF">2020-10-27T08:04:00Z</dcterms:created>
  <dcterms:modified xsi:type="dcterms:W3CDTF">2020-10-27T08:14:00Z</dcterms:modified>
</cp:coreProperties>
</file>